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E614" w14:textId="77777777" w:rsidR="00555BCB" w:rsidRDefault="00555BCB" w:rsidP="0092054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17508980" w14:textId="77777777" w:rsidR="002E2B39" w:rsidRPr="00271275" w:rsidRDefault="002E2B39" w:rsidP="0092054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07B7AD46" w14:textId="77777777" w:rsidR="0092054B" w:rsidRPr="0026605A" w:rsidRDefault="004C761B" w:rsidP="00743367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IET ARCHIVES</w:t>
      </w:r>
      <w:r w:rsidR="0026605A" w:rsidRPr="0026605A">
        <w:rPr>
          <w:rFonts w:cs="Arial"/>
          <w:b/>
          <w:sz w:val="32"/>
          <w:szCs w:val="32"/>
          <w:u w:val="single"/>
        </w:rPr>
        <w:t xml:space="preserve"> </w:t>
      </w:r>
      <w:r w:rsidR="008F292B" w:rsidRPr="0026605A">
        <w:rPr>
          <w:rFonts w:cs="Arial"/>
          <w:b/>
          <w:sz w:val="32"/>
          <w:szCs w:val="32"/>
          <w:u w:val="single"/>
        </w:rPr>
        <w:t>DEPOSIT AGREEMENT</w:t>
      </w:r>
    </w:p>
    <w:p w14:paraId="2C7F0BA1" w14:textId="1ABEDA22" w:rsidR="006053A0" w:rsidRPr="00D65C04" w:rsidRDefault="00D65C04" w:rsidP="0092054B">
      <w:pPr>
        <w:jc w:val="center"/>
        <w:rPr>
          <w:rFonts w:cs="Arial"/>
          <w:b/>
          <w:sz w:val="24"/>
          <w:szCs w:val="24"/>
        </w:rPr>
      </w:pPr>
      <w:r w:rsidRPr="00D65C04">
        <w:rPr>
          <w:rFonts w:cs="Arial"/>
          <w:b/>
          <w:sz w:val="24"/>
          <w:szCs w:val="24"/>
        </w:rPr>
        <w:t>[This form will be kept indefinitely in order to prove prov</w:t>
      </w:r>
      <w:r w:rsidR="00BF7EE4">
        <w:rPr>
          <w:rFonts w:cs="Arial"/>
          <w:b/>
          <w:sz w:val="24"/>
          <w:szCs w:val="24"/>
        </w:rPr>
        <w:t>enance</w:t>
      </w:r>
      <w:r w:rsidRPr="00D65C04">
        <w:rPr>
          <w:rFonts w:cs="Arial"/>
          <w:b/>
          <w:sz w:val="24"/>
          <w:szCs w:val="24"/>
        </w:rPr>
        <w:t>]</w:t>
      </w:r>
    </w:p>
    <w:p w14:paraId="20EDF7FB" w14:textId="77777777" w:rsidR="008F292B" w:rsidRDefault="008F292B" w:rsidP="0092054B">
      <w:pPr>
        <w:jc w:val="center"/>
      </w:pPr>
    </w:p>
    <w:p w14:paraId="644F1F83" w14:textId="77777777" w:rsidR="00B46D36" w:rsidRDefault="00B46D36" w:rsidP="008F292B">
      <w:pPr>
        <w:jc w:val="center"/>
      </w:pPr>
    </w:p>
    <w:tbl>
      <w:tblPr>
        <w:tblStyle w:val="TableGrid"/>
        <w:tblW w:w="11003" w:type="dxa"/>
        <w:tblInd w:w="-972" w:type="dxa"/>
        <w:tblLook w:val="01E0" w:firstRow="1" w:lastRow="1" w:firstColumn="1" w:lastColumn="1" w:noHBand="0" w:noVBand="0"/>
      </w:tblPr>
      <w:tblGrid>
        <w:gridCol w:w="11003"/>
      </w:tblGrid>
      <w:tr w:rsidR="008F292B" w14:paraId="1A7B1698" w14:textId="77777777" w:rsidTr="002033BD">
        <w:tc>
          <w:tcPr>
            <w:tcW w:w="11003" w:type="dxa"/>
            <w:shd w:val="clear" w:color="auto" w:fill="E6E6E6"/>
          </w:tcPr>
          <w:p w14:paraId="4A78E1CB" w14:textId="77777777" w:rsidR="008F292B" w:rsidRPr="0026605A" w:rsidRDefault="008F292B" w:rsidP="008F292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6605A">
              <w:rPr>
                <w:b/>
                <w:sz w:val="24"/>
                <w:szCs w:val="24"/>
                <w:u w:val="single"/>
              </w:rPr>
              <w:t xml:space="preserve">DESCRIPTION </w:t>
            </w:r>
            <w:r w:rsidR="0026605A">
              <w:rPr>
                <w:b/>
                <w:sz w:val="24"/>
                <w:szCs w:val="24"/>
                <w:u w:val="single"/>
              </w:rPr>
              <w:t xml:space="preserve">AND QUANTITY </w:t>
            </w:r>
            <w:r w:rsidRPr="0026605A">
              <w:rPr>
                <w:b/>
                <w:sz w:val="24"/>
                <w:szCs w:val="24"/>
                <w:u w:val="single"/>
              </w:rPr>
              <w:t>OF DEPOSIT</w:t>
            </w:r>
          </w:p>
        </w:tc>
      </w:tr>
      <w:tr w:rsidR="008F292B" w14:paraId="7EEACAB8" w14:textId="77777777" w:rsidTr="002033BD">
        <w:tc>
          <w:tcPr>
            <w:tcW w:w="11003" w:type="dxa"/>
          </w:tcPr>
          <w:p w14:paraId="7F1E83A1" w14:textId="77777777" w:rsidR="008F292B" w:rsidRDefault="008F292B" w:rsidP="008F292B">
            <w:pPr>
              <w:jc w:val="center"/>
            </w:pPr>
          </w:p>
          <w:p w14:paraId="50ACC374" w14:textId="77777777" w:rsidR="008F292B" w:rsidRDefault="008F292B" w:rsidP="008F292B">
            <w:pPr>
              <w:jc w:val="center"/>
            </w:pPr>
          </w:p>
          <w:p w14:paraId="0ED31EAC" w14:textId="77777777" w:rsidR="008F292B" w:rsidRDefault="008F292B" w:rsidP="008F292B">
            <w:pPr>
              <w:jc w:val="center"/>
            </w:pPr>
          </w:p>
          <w:p w14:paraId="544C64AE" w14:textId="77777777" w:rsidR="008F292B" w:rsidRDefault="008F292B" w:rsidP="008F292B">
            <w:pPr>
              <w:jc w:val="center"/>
            </w:pPr>
          </w:p>
          <w:p w14:paraId="11BF49E5" w14:textId="77777777" w:rsidR="0026605A" w:rsidRDefault="0026605A" w:rsidP="008F292B">
            <w:pPr>
              <w:jc w:val="center"/>
            </w:pPr>
          </w:p>
          <w:p w14:paraId="72829222" w14:textId="77777777" w:rsidR="00743367" w:rsidRDefault="00743367" w:rsidP="008F292B">
            <w:pPr>
              <w:jc w:val="center"/>
            </w:pPr>
          </w:p>
          <w:p w14:paraId="162D082F" w14:textId="77777777" w:rsidR="0026605A" w:rsidRDefault="0026605A" w:rsidP="008F292B">
            <w:pPr>
              <w:jc w:val="center"/>
            </w:pPr>
          </w:p>
          <w:p w14:paraId="589FA0DB" w14:textId="77777777" w:rsidR="008F292B" w:rsidRDefault="008F292B" w:rsidP="008F292B">
            <w:pPr>
              <w:jc w:val="center"/>
            </w:pPr>
          </w:p>
        </w:tc>
      </w:tr>
    </w:tbl>
    <w:p w14:paraId="106FFAE5" w14:textId="77777777" w:rsidR="008F292B" w:rsidRDefault="008F292B" w:rsidP="008F292B">
      <w:pPr>
        <w:jc w:val="center"/>
      </w:pPr>
    </w:p>
    <w:p w14:paraId="32F8D505" w14:textId="77777777" w:rsidR="009E2BBD" w:rsidRDefault="009E2BBD" w:rsidP="000008DB">
      <w:pPr>
        <w:jc w:val="center"/>
      </w:pPr>
    </w:p>
    <w:p w14:paraId="0F10F2A4" w14:textId="77777777" w:rsidR="0026605A" w:rsidRDefault="0026605A" w:rsidP="000008DB">
      <w:pPr>
        <w:jc w:val="center"/>
      </w:pPr>
    </w:p>
    <w:p w14:paraId="18393E8B" w14:textId="77777777" w:rsidR="002C23B5" w:rsidRDefault="002C23B5" w:rsidP="000008DB">
      <w:pPr>
        <w:jc w:val="center"/>
      </w:pPr>
    </w:p>
    <w:tbl>
      <w:tblPr>
        <w:tblStyle w:val="TableGrid"/>
        <w:tblW w:w="11003" w:type="dxa"/>
        <w:tblInd w:w="-972" w:type="dxa"/>
        <w:tblLook w:val="01E0" w:firstRow="1" w:lastRow="1" w:firstColumn="1" w:lastColumn="1" w:noHBand="0" w:noVBand="0"/>
      </w:tblPr>
      <w:tblGrid>
        <w:gridCol w:w="5233"/>
        <w:gridCol w:w="5770"/>
      </w:tblGrid>
      <w:tr w:rsidR="00DB2B10" w14:paraId="7CE7DB2F" w14:textId="77777777" w:rsidTr="002033BD">
        <w:tc>
          <w:tcPr>
            <w:tcW w:w="11003" w:type="dxa"/>
            <w:gridSpan w:val="2"/>
            <w:shd w:val="clear" w:color="auto" w:fill="E6E6E6"/>
          </w:tcPr>
          <w:p w14:paraId="6721207A" w14:textId="77777777" w:rsidR="00DB2B10" w:rsidRPr="0026605A" w:rsidRDefault="008F292B" w:rsidP="00DB2B10">
            <w:pPr>
              <w:jc w:val="center"/>
              <w:rPr>
                <w:sz w:val="24"/>
                <w:szCs w:val="24"/>
              </w:rPr>
            </w:pPr>
            <w:r w:rsidRPr="0026605A">
              <w:rPr>
                <w:b/>
                <w:sz w:val="24"/>
                <w:szCs w:val="24"/>
                <w:u w:val="single"/>
              </w:rPr>
              <w:t>DEPOSITOR INFORMATION</w:t>
            </w:r>
          </w:p>
        </w:tc>
      </w:tr>
      <w:tr w:rsidR="00A21549" w14:paraId="08CA1BB7" w14:textId="77777777" w:rsidTr="002033BD">
        <w:tc>
          <w:tcPr>
            <w:tcW w:w="5233" w:type="dxa"/>
          </w:tcPr>
          <w:p w14:paraId="65D0855F" w14:textId="77777777" w:rsidR="00A21549" w:rsidRPr="0026605A" w:rsidRDefault="00A21549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Na</w:t>
            </w:r>
            <w:r w:rsidR="00271275" w:rsidRPr="0026605A">
              <w:rPr>
                <w:sz w:val="24"/>
                <w:szCs w:val="24"/>
              </w:rPr>
              <w:t xml:space="preserve">me of </w:t>
            </w:r>
            <w:r w:rsidR="008F292B" w:rsidRPr="0026605A">
              <w:rPr>
                <w:sz w:val="24"/>
                <w:szCs w:val="24"/>
              </w:rPr>
              <w:t>Depositor</w:t>
            </w:r>
            <w:r w:rsidR="00271275" w:rsidRPr="0026605A">
              <w:rPr>
                <w:sz w:val="24"/>
                <w:szCs w:val="24"/>
              </w:rPr>
              <w:t xml:space="preserve"> (organisation /</w:t>
            </w:r>
            <w:r w:rsidRPr="0026605A">
              <w:rPr>
                <w:sz w:val="24"/>
                <w:szCs w:val="24"/>
              </w:rPr>
              <w:t xml:space="preserve"> individual)</w:t>
            </w:r>
          </w:p>
          <w:p w14:paraId="0B996B8D" w14:textId="77777777" w:rsidR="00A21549" w:rsidRPr="0026605A" w:rsidRDefault="00A21549" w:rsidP="000008DB">
            <w:pPr>
              <w:jc w:val="center"/>
              <w:rPr>
                <w:sz w:val="24"/>
                <w:szCs w:val="24"/>
              </w:rPr>
            </w:pPr>
          </w:p>
          <w:p w14:paraId="17BFB221" w14:textId="77777777" w:rsidR="00A21549" w:rsidRPr="0026605A" w:rsidRDefault="00A21549" w:rsidP="00000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0" w:type="dxa"/>
          </w:tcPr>
          <w:p w14:paraId="30214E6B" w14:textId="77777777" w:rsidR="00A21549" w:rsidRPr="0026605A" w:rsidRDefault="00A21549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Name &amp; position of signatory (if on behalf of a company)</w:t>
            </w:r>
          </w:p>
        </w:tc>
      </w:tr>
      <w:tr w:rsidR="00A21549" w14:paraId="366AC42A" w14:textId="77777777" w:rsidTr="002033BD">
        <w:tc>
          <w:tcPr>
            <w:tcW w:w="5233" w:type="dxa"/>
          </w:tcPr>
          <w:p w14:paraId="4C9601D6" w14:textId="77777777" w:rsidR="00A21549" w:rsidRPr="0026605A" w:rsidRDefault="00A21549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Address</w:t>
            </w:r>
          </w:p>
          <w:p w14:paraId="31D15E16" w14:textId="77777777" w:rsidR="00A21549" w:rsidRPr="0026605A" w:rsidRDefault="00A21549" w:rsidP="000008DB">
            <w:pPr>
              <w:jc w:val="center"/>
              <w:rPr>
                <w:sz w:val="24"/>
                <w:szCs w:val="24"/>
              </w:rPr>
            </w:pPr>
          </w:p>
          <w:p w14:paraId="481348AF" w14:textId="77777777" w:rsidR="00A21549" w:rsidRPr="0026605A" w:rsidRDefault="00A21549" w:rsidP="000008DB">
            <w:pPr>
              <w:jc w:val="center"/>
              <w:rPr>
                <w:sz w:val="24"/>
                <w:szCs w:val="24"/>
              </w:rPr>
            </w:pPr>
          </w:p>
          <w:p w14:paraId="26D8417C" w14:textId="77777777" w:rsidR="00A21549" w:rsidRPr="0026605A" w:rsidRDefault="00A21549" w:rsidP="00000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0" w:type="dxa"/>
          </w:tcPr>
          <w:p w14:paraId="5154F8B4" w14:textId="77777777" w:rsidR="00A21549" w:rsidRPr="0026605A" w:rsidRDefault="00A21549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Telephone Number</w:t>
            </w:r>
          </w:p>
          <w:p w14:paraId="43D5F63F" w14:textId="77777777" w:rsidR="00A21549" w:rsidRPr="0026605A" w:rsidRDefault="00A21549" w:rsidP="00A21549">
            <w:pPr>
              <w:rPr>
                <w:sz w:val="24"/>
                <w:szCs w:val="24"/>
              </w:rPr>
            </w:pPr>
          </w:p>
          <w:p w14:paraId="02549519" w14:textId="77777777" w:rsidR="00A21549" w:rsidRPr="0026605A" w:rsidRDefault="00A21549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Fax Number</w:t>
            </w:r>
          </w:p>
          <w:p w14:paraId="01E89B21" w14:textId="77777777" w:rsidR="00A21549" w:rsidRPr="0026605A" w:rsidRDefault="00A21549" w:rsidP="00A21549">
            <w:pPr>
              <w:rPr>
                <w:sz w:val="24"/>
                <w:szCs w:val="24"/>
              </w:rPr>
            </w:pPr>
          </w:p>
          <w:p w14:paraId="5393F990" w14:textId="77777777" w:rsidR="003B7766" w:rsidRPr="0026605A" w:rsidRDefault="003B7766" w:rsidP="00A21549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E-mail</w:t>
            </w:r>
          </w:p>
          <w:p w14:paraId="6ED9D91B" w14:textId="77777777" w:rsidR="00A21549" w:rsidRPr="0026605A" w:rsidRDefault="00A21549" w:rsidP="00A21549">
            <w:pPr>
              <w:rPr>
                <w:sz w:val="24"/>
                <w:szCs w:val="24"/>
              </w:rPr>
            </w:pPr>
          </w:p>
        </w:tc>
      </w:tr>
    </w:tbl>
    <w:p w14:paraId="38F453B4" w14:textId="77777777" w:rsidR="00A21549" w:rsidRDefault="00A21549" w:rsidP="000008DB">
      <w:pPr>
        <w:jc w:val="center"/>
      </w:pPr>
    </w:p>
    <w:p w14:paraId="103BEF12" w14:textId="77777777" w:rsidR="00271275" w:rsidRDefault="00271275" w:rsidP="00271275">
      <w:pPr>
        <w:jc w:val="center"/>
      </w:pPr>
    </w:p>
    <w:p w14:paraId="664F2E5F" w14:textId="77777777" w:rsidR="0026605A" w:rsidRDefault="0026605A" w:rsidP="00271275">
      <w:pPr>
        <w:jc w:val="center"/>
      </w:pPr>
    </w:p>
    <w:p w14:paraId="06B2F27E" w14:textId="77777777" w:rsidR="00271275" w:rsidRDefault="00271275" w:rsidP="00271275">
      <w:pPr>
        <w:jc w:val="center"/>
        <w:rPr>
          <w:rFonts w:cs="Arial"/>
          <w:b/>
          <w:sz w:val="24"/>
          <w:szCs w:val="24"/>
          <w:u w:val="single"/>
        </w:rPr>
      </w:pPr>
      <w:r w:rsidRPr="0026605A">
        <w:rPr>
          <w:rFonts w:cs="Arial"/>
          <w:b/>
          <w:sz w:val="24"/>
          <w:szCs w:val="24"/>
          <w:u w:val="single"/>
        </w:rPr>
        <w:t>DECLARATION</w:t>
      </w:r>
    </w:p>
    <w:p w14:paraId="1A0D888B" w14:textId="77777777" w:rsidR="002E2B39" w:rsidRPr="002E2B39" w:rsidRDefault="002E2B39" w:rsidP="00271275">
      <w:pPr>
        <w:jc w:val="center"/>
        <w:rPr>
          <w:rFonts w:cs="Arial"/>
          <w:sz w:val="16"/>
          <w:szCs w:val="24"/>
        </w:rPr>
      </w:pPr>
    </w:p>
    <w:p w14:paraId="143BFBE3" w14:textId="77777777" w:rsidR="00271275" w:rsidRPr="0026605A" w:rsidRDefault="00271275" w:rsidP="00271275">
      <w:pPr>
        <w:jc w:val="center"/>
        <w:rPr>
          <w:rFonts w:cs="Arial"/>
          <w:sz w:val="24"/>
          <w:szCs w:val="24"/>
        </w:rPr>
      </w:pPr>
      <w:r w:rsidRPr="0026605A">
        <w:rPr>
          <w:rFonts w:cs="Arial"/>
          <w:sz w:val="24"/>
          <w:szCs w:val="24"/>
        </w:rPr>
        <w:t xml:space="preserve">I/We </w:t>
      </w:r>
      <w:r w:rsidR="008F292B" w:rsidRPr="0026605A">
        <w:rPr>
          <w:rFonts w:cs="Arial"/>
          <w:sz w:val="24"/>
          <w:szCs w:val="24"/>
        </w:rPr>
        <w:t xml:space="preserve">have deposited these items with the archives of the IET in accordance </w:t>
      </w:r>
      <w:r w:rsidR="002E2B39">
        <w:rPr>
          <w:rFonts w:cs="Arial"/>
          <w:sz w:val="24"/>
          <w:szCs w:val="24"/>
        </w:rPr>
        <w:t>with</w:t>
      </w:r>
      <w:r w:rsidR="008F292B" w:rsidRPr="0026605A">
        <w:rPr>
          <w:rFonts w:cs="Arial"/>
          <w:sz w:val="24"/>
          <w:szCs w:val="24"/>
        </w:rPr>
        <w:t xml:space="preserve"> the terms and conditions</w:t>
      </w:r>
      <w:r w:rsidR="0026605A" w:rsidRPr="0026605A">
        <w:rPr>
          <w:rFonts w:cs="Arial"/>
          <w:sz w:val="24"/>
          <w:szCs w:val="24"/>
        </w:rPr>
        <w:t xml:space="preserve"> and collection policy</w:t>
      </w:r>
      <w:r w:rsidR="008F292B" w:rsidRPr="0026605A">
        <w:rPr>
          <w:rFonts w:cs="Arial"/>
          <w:sz w:val="24"/>
          <w:szCs w:val="24"/>
        </w:rPr>
        <w:t xml:space="preserve"> overleaf</w:t>
      </w:r>
      <w:r w:rsidR="0026605A" w:rsidRPr="0026605A">
        <w:rPr>
          <w:rFonts w:cs="Arial"/>
          <w:sz w:val="24"/>
          <w:szCs w:val="24"/>
        </w:rPr>
        <w:t>.</w:t>
      </w:r>
    </w:p>
    <w:p w14:paraId="5C3B0091" w14:textId="77777777" w:rsidR="008F292B" w:rsidRDefault="008F292B" w:rsidP="00271275">
      <w:pPr>
        <w:jc w:val="center"/>
        <w:rPr>
          <w:rFonts w:cs="Arial"/>
        </w:rPr>
      </w:pPr>
    </w:p>
    <w:p w14:paraId="5E9190FE" w14:textId="77777777" w:rsidR="0026605A" w:rsidRDefault="0026605A" w:rsidP="00271275">
      <w:pPr>
        <w:jc w:val="center"/>
        <w:rPr>
          <w:rFonts w:cs="Arial"/>
        </w:rPr>
      </w:pPr>
    </w:p>
    <w:tbl>
      <w:tblPr>
        <w:tblStyle w:val="TableGrid"/>
        <w:tblW w:w="11003" w:type="dxa"/>
        <w:tblInd w:w="-972" w:type="dxa"/>
        <w:tblLook w:val="01E0" w:firstRow="1" w:lastRow="1" w:firstColumn="1" w:lastColumn="1" w:noHBand="0" w:noVBand="0"/>
      </w:tblPr>
      <w:tblGrid>
        <w:gridCol w:w="5233"/>
        <w:gridCol w:w="5770"/>
      </w:tblGrid>
      <w:tr w:rsidR="00271275" w14:paraId="7E251A9A" w14:textId="77777777" w:rsidTr="002033BD">
        <w:tc>
          <w:tcPr>
            <w:tcW w:w="5233" w:type="dxa"/>
          </w:tcPr>
          <w:p w14:paraId="117443B5" w14:textId="77777777" w:rsidR="00271275" w:rsidRPr="0026605A" w:rsidRDefault="00271275" w:rsidP="00271275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Signature</w:t>
            </w:r>
            <w:r w:rsidR="008F292B" w:rsidRPr="0026605A">
              <w:rPr>
                <w:sz w:val="24"/>
                <w:szCs w:val="24"/>
              </w:rPr>
              <w:t xml:space="preserve"> of Depositor</w:t>
            </w:r>
          </w:p>
          <w:p w14:paraId="34562BA8" w14:textId="77777777" w:rsidR="00271275" w:rsidRPr="0026605A" w:rsidRDefault="00271275" w:rsidP="00271275">
            <w:pPr>
              <w:rPr>
                <w:sz w:val="24"/>
                <w:szCs w:val="24"/>
              </w:rPr>
            </w:pPr>
          </w:p>
          <w:p w14:paraId="68D588A5" w14:textId="77777777" w:rsidR="00271275" w:rsidRPr="0026605A" w:rsidRDefault="00271275" w:rsidP="00271275">
            <w:pPr>
              <w:rPr>
                <w:sz w:val="24"/>
                <w:szCs w:val="24"/>
              </w:rPr>
            </w:pPr>
          </w:p>
        </w:tc>
        <w:tc>
          <w:tcPr>
            <w:tcW w:w="5770" w:type="dxa"/>
          </w:tcPr>
          <w:p w14:paraId="62E8201E" w14:textId="77777777" w:rsidR="00271275" w:rsidRPr="0026605A" w:rsidRDefault="00271275" w:rsidP="00271275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Date</w:t>
            </w:r>
          </w:p>
        </w:tc>
      </w:tr>
      <w:tr w:rsidR="008F292B" w14:paraId="232433FD" w14:textId="77777777" w:rsidTr="002033BD">
        <w:tc>
          <w:tcPr>
            <w:tcW w:w="5233" w:type="dxa"/>
          </w:tcPr>
          <w:p w14:paraId="707A81E0" w14:textId="77777777" w:rsidR="008F292B" w:rsidRPr="0026605A" w:rsidRDefault="008F292B" w:rsidP="00271275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Signature of IET Archivist</w:t>
            </w:r>
          </w:p>
          <w:p w14:paraId="26D55900" w14:textId="77777777" w:rsidR="008F292B" w:rsidRPr="0026605A" w:rsidRDefault="008F292B" w:rsidP="00271275">
            <w:pPr>
              <w:rPr>
                <w:sz w:val="24"/>
                <w:szCs w:val="24"/>
              </w:rPr>
            </w:pPr>
          </w:p>
          <w:p w14:paraId="61C41AC2" w14:textId="77777777" w:rsidR="008F292B" w:rsidRPr="0026605A" w:rsidRDefault="008F292B" w:rsidP="00271275">
            <w:pPr>
              <w:rPr>
                <w:sz w:val="24"/>
                <w:szCs w:val="24"/>
              </w:rPr>
            </w:pPr>
          </w:p>
        </w:tc>
        <w:tc>
          <w:tcPr>
            <w:tcW w:w="5770" w:type="dxa"/>
          </w:tcPr>
          <w:p w14:paraId="3B436270" w14:textId="77777777" w:rsidR="008F292B" w:rsidRPr="0026605A" w:rsidRDefault="008F292B" w:rsidP="00271275">
            <w:pPr>
              <w:rPr>
                <w:sz w:val="24"/>
                <w:szCs w:val="24"/>
              </w:rPr>
            </w:pPr>
            <w:r w:rsidRPr="0026605A">
              <w:rPr>
                <w:sz w:val="24"/>
                <w:szCs w:val="24"/>
              </w:rPr>
              <w:t>Date</w:t>
            </w:r>
          </w:p>
        </w:tc>
      </w:tr>
    </w:tbl>
    <w:p w14:paraId="3EEB2775" w14:textId="77777777" w:rsidR="00271275" w:rsidRDefault="00271275" w:rsidP="00271275">
      <w:pPr>
        <w:jc w:val="center"/>
        <w:rPr>
          <w:rFonts w:cs="Arial"/>
        </w:rPr>
      </w:pPr>
    </w:p>
    <w:p w14:paraId="5E559655" w14:textId="77777777" w:rsidR="00D44173" w:rsidRDefault="00D44173" w:rsidP="00271275">
      <w:pPr>
        <w:jc w:val="center"/>
        <w:rPr>
          <w:rFonts w:cs="Arial"/>
        </w:rPr>
      </w:pPr>
    </w:p>
    <w:p w14:paraId="14752B20" w14:textId="77777777" w:rsidR="00D44173" w:rsidRDefault="00D44173" w:rsidP="00271275">
      <w:pPr>
        <w:jc w:val="center"/>
        <w:rPr>
          <w:rFonts w:cs="Arial"/>
        </w:rPr>
      </w:pPr>
    </w:p>
    <w:p w14:paraId="6E0421D8" w14:textId="77777777" w:rsidR="00D44173" w:rsidRDefault="00D44173" w:rsidP="00271275">
      <w:pPr>
        <w:jc w:val="center"/>
        <w:rPr>
          <w:rFonts w:cs="Arial"/>
        </w:rPr>
      </w:pPr>
    </w:p>
    <w:p w14:paraId="2F9356A7" w14:textId="77777777" w:rsidR="00D44173" w:rsidRDefault="00D44173" w:rsidP="00271275">
      <w:pPr>
        <w:jc w:val="center"/>
        <w:rPr>
          <w:rFonts w:cs="Arial"/>
        </w:rPr>
      </w:pPr>
    </w:p>
    <w:tbl>
      <w:tblPr>
        <w:tblStyle w:val="TableGrid"/>
        <w:tblW w:w="11003" w:type="dxa"/>
        <w:tblInd w:w="-972" w:type="dxa"/>
        <w:tblLook w:val="01E0" w:firstRow="1" w:lastRow="1" w:firstColumn="1" w:lastColumn="1" w:noHBand="0" w:noVBand="0"/>
      </w:tblPr>
      <w:tblGrid>
        <w:gridCol w:w="11003"/>
      </w:tblGrid>
      <w:tr w:rsidR="00D44173" w14:paraId="601BCC3F" w14:textId="77777777" w:rsidTr="002033BD">
        <w:tc>
          <w:tcPr>
            <w:tcW w:w="11003" w:type="dxa"/>
          </w:tcPr>
          <w:p w14:paraId="42700FD2" w14:textId="77777777" w:rsidR="00D44173" w:rsidRPr="00D44173" w:rsidRDefault="00D44173" w:rsidP="00D44173">
            <w:pPr>
              <w:rPr>
                <w:rFonts w:cs="Arial"/>
                <w:sz w:val="24"/>
                <w:szCs w:val="24"/>
              </w:rPr>
            </w:pPr>
            <w:r w:rsidRPr="00D44173">
              <w:rPr>
                <w:rFonts w:cs="Arial"/>
                <w:b/>
                <w:sz w:val="24"/>
                <w:szCs w:val="24"/>
              </w:rPr>
              <w:t>For Archives use only</w:t>
            </w:r>
            <w:r>
              <w:rPr>
                <w:rFonts w:cs="Arial"/>
                <w:sz w:val="24"/>
                <w:szCs w:val="24"/>
              </w:rPr>
              <w:t xml:space="preserve"> Accession No:                           Catalogue No:</w:t>
            </w:r>
          </w:p>
        </w:tc>
      </w:tr>
    </w:tbl>
    <w:p w14:paraId="25776860" w14:textId="77777777" w:rsidR="0026605A" w:rsidRDefault="0026605A" w:rsidP="00271275">
      <w:pPr>
        <w:jc w:val="center"/>
        <w:rPr>
          <w:rFonts w:cs="Arial"/>
        </w:rPr>
      </w:pPr>
    </w:p>
    <w:p w14:paraId="70EBFC65" w14:textId="77777777" w:rsidR="00FB76AC" w:rsidRDefault="00FB76AC" w:rsidP="00271275">
      <w:pPr>
        <w:jc w:val="center"/>
        <w:rPr>
          <w:rFonts w:cs="Arial"/>
        </w:rPr>
        <w:sectPr w:rsidR="00FB76AC" w:rsidSect="002033BD">
          <w:headerReference w:type="default" r:id="rId7"/>
          <w:pgSz w:w="11906" w:h="16838"/>
          <w:pgMar w:top="1440" w:right="1800" w:bottom="720" w:left="1560" w:header="708" w:footer="708" w:gutter="0"/>
          <w:cols w:space="708"/>
          <w:docGrid w:linePitch="360"/>
        </w:sectPr>
      </w:pPr>
    </w:p>
    <w:p w14:paraId="283EA082" w14:textId="77777777" w:rsidR="00FB76AC" w:rsidRDefault="00FB76AC" w:rsidP="00271275">
      <w:pPr>
        <w:jc w:val="center"/>
        <w:rPr>
          <w:rFonts w:cs="Arial"/>
        </w:rPr>
      </w:pPr>
    </w:p>
    <w:p w14:paraId="05A071C6" w14:textId="77777777" w:rsidR="00271275" w:rsidRPr="00743367" w:rsidRDefault="0026605A" w:rsidP="00271275">
      <w:pPr>
        <w:jc w:val="center"/>
        <w:rPr>
          <w:rFonts w:cs="Arial"/>
          <w:sz w:val="24"/>
          <w:szCs w:val="24"/>
          <w:u w:val="single"/>
        </w:rPr>
      </w:pPr>
      <w:r w:rsidRPr="00743367">
        <w:rPr>
          <w:rFonts w:cs="Arial"/>
          <w:sz w:val="24"/>
          <w:szCs w:val="24"/>
          <w:u w:val="single"/>
        </w:rPr>
        <w:t>IET ARCHIVES DEPOSIT</w:t>
      </w:r>
      <w:r w:rsidR="00271275" w:rsidRPr="00743367">
        <w:rPr>
          <w:rFonts w:cs="Arial"/>
          <w:sz w:val="24"/>
          <w:szCs w:val="24"/>
          <w:u w:val="single"/>
        </w:rPr>
        <w:t xml:space="preserve"> – TERMS AND CONDITIONS</w:t>
      </w:r>
    </w:p>
    <w:p w14:paraId="77396489" w14:textId="77777777" w:rsidR="00271275" w:rsidRPr="004C761B" w:rsidRDefault="00271275" w:rsidP="00271275">
      <w:pPr>
        <w:jc w:val="center"/>
        <w:rPr>
          <w:rFonts w:cs="Arial"/>
          <w:sz w:val="24"/>
          <w:szCs w:val="24"/>
        </w:rPr>
      </w:pPr>
    </w:p>
    <w:p w14:paraId="6FD2D108" w14:textId="77777777" w:rsidR="00271275" w:rsidRPr="004C761B" w:rsidRDefault="00271275" w:rsidP="006053A0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 xml:space="preserve">1. </w:t>
      </w:r>
      <w:r w:rsidR="0026605A" w:rsidRPr="004C761B">
        <w:rPr>
          <w:rFonts w:cs="Arial"/>
          <w:sz w:val="24"/>
          <w:szCs w:val="24"/>
        </w:rPr>
        <w:t xml:space="preserve">The IET Archives will only accept </w:t>
      </w:r>
      <w:r w:rsidR="00E41B28" w:rsidRPr="004C761B">
        <w:rPr>
          <w:rFonts w:cs="Arial"/>
          <w:sz w:val="24"/>
          <w:szCs w:val="24"/>
        </w:rPr>
        <w:t xml:space="preserve">material on </w:t>
      </w:r>
      <w:r w:rsidR="0026605A" w:rsidRPr="004C761B">
        <w:rPr>
          <w:rFonts w:cs="Arial"/>
          <w:b/>
          <w:sz w:val="24"/>
          <w:szCs w:val="24"/>
        </w:rPr>
        <w:t>deposit</w:t>
      </w:r>
      <w:r w:rsidR="00E41B28" w:rsidRPr="004C761B">
        <w:rPr>
          <w:rFonts w:cs="Arial"/>
          <w:sz w:val="24"/>
          <w:szCs w:val="24"/>
        </w:rPr>
        <w:t xml:space="preserve"> – defined </w:t>
      </w:r>
      <w:r w:rsidR="00A001C9" w:rsidRPr="004C761B">
        <w:rPr>
          <w:rFonts w:cs="Arial"/>
          <w:sz w:val="24"/>
          <w:szCs w:val="24"/>
        </w:rPr>
        <w:t xml:space="preserve">for the purposes of this agreement </w:t>
      </w:r>
      <w:r w:rsidR="00E41B28" w:rsidRPr="004C761B">
        <w:rPr>
          <w:rFonts w:cs="Arial"/>
          <w:sz w:val="24"/>
          <w:szCs w:val="24"/>
        </w:rPr>
        <w:t xml:space="preserve">as </w:t>
      </w:r>
      <w:r w:rsidR="00E41B28" w:rsidRPr="004C761B">
        <w:rPr>
          <w:rFonts w:cs="Arial"/>
          <w:i/>
          <w:sz w:val="24"/>
          <w:szCs w:val="24"/>
        </w:rPr>
        <w:t>a permanent de</w:t>
      </w:r>
      <w:r w:rsidR="00A001C9" w:rsidRPr="004C761B">
        <w:rPr>
          <w:rFonts w:cs="Arial"/>
          <w:i/>
          <w:sz w:val="24"/>
          <w:szCs w:val="24"/>
        </w:rPr>
        <w:t>posit, including the transfer of ownership and associated rights, to the IET Archives</w:t>
      </w:r>
      <w:r w:rsidR="00A001C9" w:rsidRPr="004C761B">
        <w:rPr>
          <w:rFonts w:cs="Arial"/>
          <w:sz w:val="24"/>
          <w:szCs w:val="24"/>
        </w:rPr>
        <w:t>.</w:t>
      </w:r>
      <w:r w:rsidR="00743367" w:rsidRPr="004C761B">
        <w:rPr>
          <w:rFonts w:cs="Arial"/>
          <w:sz w:val="24"/>
          <w:szCs w:val="24"/>
        </w:rPr>
        <w:t xml:space="preserve"> Deposits on a</w:t>
      </w:r>
      <w:r w:rsidR="00F547BE" w:rsidRPr="004C761B">
        <w:rPr>
          <w:rFonts w:cs="Arial"/>
          <w:sz w:val="24"/>
          <w:szCs w:val="24"/>
        </w:rPr>
        <w:t xml:space="preserve">ny other </w:t>
      </w:r>
      <w:r w:rsidR="00743367" w:rsidRPr="004C761B">
        <w:rPr>
          <w:rFonts w:cs="Arial"/>
          <w:sz w:val="24"/>
          <w:szCs w:val="24"/>
        </w:rPr>
        <w:t xml:space="preserve">basis will only be considered in </w:t>
      </w:r>
      <w:r w:rsidR="00F547BE" w:rsidRPr="004C761B">
        <w:rPr>
          <w:rFonts w:cs="Arial"/>
          <w:sz w:val="24"/>
          <w:szCs w:val="24"/>
        </w:rPr>
        <w:t xml:space="preserve">very </w:t>
      </w:r>
      <w:r w:rsidR="00743367" w:rsidRPr="004C761B">
        <w:rPr>
          <w:rFonts w:cs="Arial"/>
          <w:sz w:val="24"/>
          <w:szCs w:val="24"/>
        </w:rPr>
        <w:t>specific circumstances.</w:t>
      </w:r>
    </w:p>
    <w:p w14:paraId="05AA0417" w14:textId="77777777" w:rsidR="00CF5444" w:rsidRPr="004C761B" w:rsidRDefault="00CF5444" w:rsidP="006053A0">
      <w:pPr>
        <w:jc w:val="both"/>
        <w:rPr>
          <w:rFonts w:cs="Arial"/>
          <w:sz w:val="24"/>
          <w:szCs w:val="24"/>
        </w:rPr>
      </w:pPr>
    </w:p>
    <w:p w14:paraId="666B9449" w14:textId="77777777" w:rsidR="00271275" w:rsidRPr="004C761B" w:rsidRDefault="00A001C9" w:rsidP="006053A0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>2</w:t>
      </w:r>
      <w:r w:rsidR="00271275" w:rsidRPr="004C761B">
        <w:rPr>
          <w:rFonts w:cs="Arial"/>
          <w:sz w:val="24"/>
          <w:szCs w:val="24"/>
        </w:rPr>
        <w:t xml:space="preserve">. </w:t>
      </w:r>
      <w:r w:rsidR="00743367" w:rsidRPr="004C761B">
        <w:rPr>
          <w:rFonts w:cs="Arial"/>
          <w:sz w:val="24"/>
          <w:szCs w:val="24"/>
        </w:rPr>
        <w:t>The IET Archives will only accept deposits if the material falls within the collecti</w:t>
      </w:r>
      <w:r w:rsidR="00F547BE" w:rsidRPr="004C761B">
        <w:rPr>
          <w:rFonts w:cs="Arial"/>
          <w:sz w:val="24"/>
          <w:szCs w:val="24"/>
        </w:rPr>
        <w:t>o</w:t>
      </w:r>
      <w:r w:rsidR="00743367" w:rsidRPr="004C761B">
        <w:rPr>
          <w:rFonts w:cs="Arial"/>
          <w:sz w:val="24"/>
          <w:szCs w:val="24"/>
        </w:rPr>
        <w:t>n policy</w:t>
      </w:r>
      <w:r w:rsidR="00F71310" w:rsidRPr="004C761B">
        <w:rPr>
          <w:rFonts w:cs="Arial"/>
          <w:sz w:val="24"/>
          <w:szCs w:val="24"/>
        </w:rPr>
        <w:t xml:space="preserve"> as</w:t>
      </w:r>
      <w:r w:rsidR="00743367" w:rsidRPr="004C761B">
        <w:rPr>
          <w:rFonts w:cs="Arial"/>
          <w:sz w:val="24"/>
          <w:szCs w:val="24"/>
        </w:rPr>
        <w:t xml:space="preserve"> </w:t>
      </w:r>
      <w:r w:rsidR="00F71310" w:rsidRPr="004C761B">
        <w:rPr>
          <w:rFonts w:cs="Arial"/>
          <w:sz w:val="24"/>
          <w:szCs w:val="24"/>
        </w:rPr>
        <w:t xml:space="preserve">set out </w:t>
      </w:r>
      <w:r w:rsidR="00743367" w:rsidRPr="004C761B">
        <w:rPr>
          <w:rFonts w:cs="Arial"/>
          <w:sz w:val="24"/>
          <w:szCs w:val="24"/>
        </w:rPr>
        <w:t>below.</w:t>
      </w:r>
    </w:p>
    <w:p w14:paraId="48249B9F" w14:textId="77777777" w:rsidR="00271275" w:rsidRPr="004C761B" w:rsidRDefault="00271275" w:rsidP="006053A0">
      <w:pPr>
        <w:jc w:val="both"/>
        <w:rPr>
          <w:rFonts w:cs="Arial"/>
          <w:sz w:val="24"/>
          <w:szCs w:val="24"/>
        </w:rPr>
      </w:pPr>
    </w:p>
    <w:p w14:paraId="3F72FA34" w14:textId="77777777" w:rsidR="00E41B28" w:rsidRPr="004C761B" w:rsidRDefault="00A001C9" w:rsidP="006053A0">
      <w:pPr>
        <w:jc w:val="both"/>
        <w:rPr>
          <w:iCs/>
          <w:sz w:val="24"/>
          <w:szCs w:val="24"/>
        </w:rPr>
      </w:pPr>
      <w:r w:rsidRPr="004C761B">
        <w:rPr>
          <w:rFonts w:cs="Arial"/>
          <w:sz w:val="24"/>
          <w:szCs w:val="24"/>
        </w:rPr>
        <w:t>2</w:t>
      </w:r>
      <w:r w:rsidR="00E41B28" w:rsidRPr="004C761B">
        <w:rPr>
          <w:rFonts w:cs="Arial"/>
          <w:sz w:val="24"/>
          <w:szCs w:val="24"/>
        </w:rPr>
        <w:t>a. The IET Archives collection is of International significance</w:t>
      </w:r>
      <w:r w:rsidR="00E41B28" w:rsidRPr="004C761B">
        <w:rPr>
          <w:iCs/>
          <w:sz w:val="24"/>
          <w:szCs w:val="24"/>
        </w:rPr>
        <w:t xml:space="preserve"> covering the technical and social development of science and engineering from the medieval period to the present.</w:t>
      </w:r>
    </w:p>
    <w:p w14:paraId="38F575C2" w14:textId="77777777" w:rsidR="00E41B28" w:rsidRPr="004C761B" w:rsidRDefault="00E41B28" w:rsidP="006053A0">
      <w:pPr>
        <w:jc w:val="both"/>
        <w:rPr>
          <w:iCs/>
          <w:sz w:val="24"/>
          <w:szCs w:val="24"/>
        </w:rPr>
      </w:pPr>
    </w:p>
    <w:p w14:paraId="3BB3574A" w14:textId="77777777" w:rsidR="00E41B28" w:rsidRPr="004C761B" w:rsidRDefault="00A001C9" w:rsidP="006053A0">
      <w:pPr>
        <w:jc w:val="both"/>
        <w:rPr>
          <w:iCs/>
          <w:sz w:val="24"/>
          <w:szCs w:val="24"/>
        </w:rPr>
      </w:pPr>
      <w:r w:rsidRPr="004C761B">
        <w:rPr>
          <w:iCs/>
          <w:sz w:val="24"/>
          <w:szCs w:val="24"/>
        </w:rPr>
        <w:t>2</w:t>
      </w:r>
      <w:r w:rsidR="00E41B28" w:rsidRPr="004C761B">
        <w:rPr>
          <w:iCs/>
          <w:sz w:val="24"/>
          <w:szCs w:val="24"/>
        </w:rPr>
        <w:t xml:space="preserve">b. The Archives will acquire the IET’s core records, as well as papers from outside the IET </w:t>
      </w:r>
      <w:r w:rsidRPr="004C761B">
        <w:rPr>
          <w:iCs/>
          <w:sz w:val="24"/>
          <w:szCs w:val="24"/>
        </w:rPr>
        <w:t>if</w:t>
      </w:r>
      <w:r w:rsidR="00E41B28" w:rsidRPr="004C761B">
        <w:rPr>
          <w:iCs/>
          <w:sz w:val="24"/>
          <w:szCs w:val="24"/>
        </w:rPr>
        <w:t xml:space="preserve"> they are: Personal papers and photographs of Past Presidents, Honorary Fellows and notable members, Corporate records documenting the history of </w:t>
      </w:r>
      <w:r w:rsidR="00E41B28" w:rsidRPr="004C761B">
        <w:rPr>
          <w:sz w:val="24"/>
          <w:szCs w:val="24"/>
        </w:rPr>
        <w:t>science, engineering and technology</w:t>
      </w:r>
      <w:r w:rsidR="00E41B28" w:rsidRPr="004C761B">
        <w:rPr>
          <w:iCs/>
          <w:sz w:val="24"/>
          <w:szCs w:val="24"/>
        </w:rPr>
        <w:t xml:space="preserve"> in the UK, or </w:t>
      </w:r>
      <w:r w:rsidRPr="004C761B">
        <w:rPr>
          <w:iCs/>
          <w:sz w:val="24"/>
          <w:szCs w:val="24"/>
        </w:rPr>
        <w:t>Audiovisual material in appropriate</w:t>
      </w:r>
      <w:r w:rsidR="00E41B28" w:rsidRPr="004C761B">
        <w:rPr>
          <w:iCs/>
          <w:sz w:val="24"/>
          <w:szCs w:val="24"/>
        </w:rPr>
        <w:t xml:space="preserve"> subject areas.</w:t>
      </w:r>
    </w:p>
    <w:p w14:paraId="6A28741E" w14:textId="77777777" w:rsidR="00E41B28" w:rsidRPr="004C761B" w:rsidRDefault="00E41B28" w:rsidP="006053A0">
      <w:pPr>
        <w:jc w:val="both"/>
        <w:rPr>
          <w:iCs/>
          <w:sz w:val="24"/>
          <w:szCs w:val="24"/>
        </w:rPr>
      </w:pPr>
    </w:p>
    <w:p w14:paraId="2CFB929E" w14:textId="77777777" w:rsidR="00E41B28" w:rsidRPr="004C761B" w:rsidRDefault="00A001C9" w:rsidP="006053A0">
      <w:pPr>
        <w:jc w:val="both"/>
        <w:rPr>
          <w:iCs/>
          <w:sz w:val="24"/>
          <w:szCs w:val="24"/>
        </w:rPr>
      </w:pPr>
      <w:r w:rsidRPr="004C761B">
        <w:rPr>
          <w:iCs/>
          <w:sz w:val="24"/>
          <w:szCs w:val="24"/>
        </w:rPr>
        <w:t>2</w:t>
      </w:r>
      <w:r w:rsidR="00E41B28" w:rsidRPr="004C761B">
        <w:rPr>
          <w:iCs/>
          <w:sz w:val="24"/>
          <w:szCs w:val="24"/>
        </w:rPr>
        <w:t xml:space="preserve">c. The Archives act as a repository of last resort.  Papers will only be acquired if they meet the requirements of </w:t>
      </w:r>
      <w:r w:rsidR="0046400D" w:rsidRPr="004C761B">
        <w:rPr>
          <w:iCs/>
          <w:sz w:val="24"/>
          <w:szCs w:val="24"/>
        </w:rPr>
        <w:t>2</w:t>
      </w:r>
      <w:r w:rsidR="00E41B28" w:rsidRPr="004C761B">
        <w:rPr>
          <w:iCs/>
          <w:sz w:val="24"/>
          <w:szCs w:val="24"/>
        </w:rPr>
        <w:t xml:space="preserve">b above, can be adequately housed and made accessible through the Archives, cannot be placed in or are not sought by another repository, do not duplicate other </w:t>
      </w:r>
      <w:r w:rsidR="0046400D" w:rsidRPr="004C761B">
        <w:rPr>
          <w:iCs/>
          <w:sz w:val="24"/>
          <w:szCs w:val="24"/>
        </w:rPr>
        <w:t>material</w:t>
      </w:r>
      <w:r w:rsidRPr="004C761B">
        <w:rPr>
          <w:iCs/>
          <w:sz w:val="24"/>
          <w:szCs w:val="24"/>
        </w:rPr>
        <w:t xml:space="preserve"> within the Archives</w:t>
      </w:r>
      <w:r w:rsidR="00E41B28" w:rsidRPr="004C761B">
        <w:rPr>
          <w:iCs/>
          <w:sz w:val="24"/>
          <w:szCs w:val="24"/>
        </w:rPr>
        <w:t>, and are not artefacts or other equipment.</w:t>
      </w:r>
    </w:p>
    <w:p w14:paraId="4A348A92" w14:textId="77777777" w:rsidR="00E41B28" w:rsidRPr="004C761B" w:rsidRDefault="00E41B28" w:rsidP="006053A0">
      <w:pPr>
        <w:jc w:val="both"/>
        <w:rPr>
          <w:iCs/>
          <w:sz w:val="24"/>
          <w:szCs w:val="24"/>
        </w:rPr>
      </w:pPr>
    </w:p>
    <w:p w14:paraId="5CB4CE57" w14:textId="77777777" w:rsidR="00E41B28" w:rsidRPr="004C761B" w:rsidRDefault="00A001C9" w:rsidP="006053A0">
      <w:pPr>
        <w:jc w:val="both"/>
        <w:rPr>
          <w:iCs/>
          <w:sz w:val="24"/>
          <w:szCs w:val="24"/>
        </w:rPr>
      </w:pPr>
      <w:r w:rsidRPr="004C761B">
        <w:rPr>
          <w:iCs/>
          <w:sz w:val="24"/>
          <w:szCs w:val="24"/>
        </w:rPr>
        <w:t>2</w:t>
      </w:r>
      <w:r w:rsidR="00E41B28" w:rsidRPr="004C761B">
        <w:rPr>
          <w:iCs/>
          <w:sz w:val="24"/>
          <w:szCs w:val="24"/>
        </w:rPr>
        <w:t xml:space="preserve">d. The Archives reserve the right to transfer material to a more appropriate repository if one is identified, or </w:t>
      </w:r>
      <w:r w:rsidRPr="004C761B">
        <w:rPr>
          <w:iCs/>
          <w:sz w:val="24"/>
          <w:szCs w:val="24"/>
        </w:rPr>
        <w:t xml:space="preserve">to </w:t>
      </w:r>
      <w:r w:rsidR="00E41B28" w:rsidRPr="004C761B">
        <w:rPr>
          <w:iCs/>
          <w:sz w:val="24"/>
          <w:szCs w:val="24"/>
        </w:rPr>
        <w:t>destroy</w:t>
      </w:r>
      <w:r w:rsidRPr="004C761B">
        <w:rPr>
          <w:iCs/>
          <w:sz w:val="24"/>
          <w:szCs w:val="24"/>
        </w:rPr>
        <w:t xml:space="preserve"> or return any records deemed to be of no historical interest</w:t>
      </w:r>
      <w:r w:rsidR="00E41B28" w:rsidRPr="004C761B">
        <w:rPr>
          <w:iCs/>
          <w:sz w:val="24"/>
          <w:szCs w:val="24"/>
        </w:rPr>
        <w:t xml:space="preserve"> with permission of the depositor following reappraisal.</w:t>
      </w:r>
    </w:p>
    <w:p w14:paraId="1F5CCE80" w14:textId="77777777" w:rsidR="00E41B28" w:rsidRPr="004C761B" w:rsidRDefault="00E41B28" w:rsidP="006053A0">
      <w:pPr>
        <w:jc w:val="both"/>
        <w:rPr>
          <w:iCs/>
          <w:sz w:val="24"/>
          <w:szCs w:val="24"/>
        </w:rPr>
      </w:pPr>
    </w:p>
    <w:p w14:paraId="466AD7BF" w14:textId="77777777" w:rsidR="00E41B28" w:rsidRPr="004C761B" w:rsidRDefault="00A001C9" w:rsidP="006053A0">
      <w:pPr>
        <w:jc w:val="both"/>
        <w:rPr>
          <w:rFonts w:cs="Arial"/>
          <w:sz w:val="24"/>
          <w:szCs w:val="24"/>
        </w:rPr>
      </w:pPr>
      <w:r w:rsidRPr="004C761B">
        <w:rPr>
          <w:iCs/>
          <w:sz w:val="24"/>
          <w:szCs w:val="24"/>
        </w:rPr>
        <w:t>2</w:t>
      </w:r>
      <w:r w:rsidR="00E41B28" w:rsidRPr="004C761B">
        <w:rPr>
          <w:iCs/>
          <w:sz w:val="24"/>
          <w:szCs w:val="24"/>
        </w:rPr>
        <w:t>e. The full collections and acquisitions policy can be obtained on request from the IET Archivist.</w:t>
      </w:r>
    </w:p>
    <w:p w14:paraId="0BE38CA9" w14:textId="77777777" w:rsidR="00743367" w:rsidRPr="004C761B" w:rsidRDefault="00743367" w:rsidP="00CF5444">
      <w:pPr>
        <w:jc w:val="both"/>
        <w:rPr>
          <w:rFonts w:cs="Arial"/>
          <w:sz w:val="24"/>
          <w:szCs w:val="24"/>
        </w:rPr>
      </w:pPr>
    </w:p>
    <w:p w14:paraId="3397F3CE" w14:textId="77777777" w:rsidR="00A001C9" w:rsidRPr="004C761B" w:rsidRDefault="00A001C9" w:rsidP="00A001C9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>3. Once deposited, the IET Archives will store the material in the same conditions as the Institution’s own collections, and provide the depositor with a copy of the catalogue entry once the material has been processed and listed.</w:t>
      </w:r>
    </w:p>
    <w:p w14:paraId="6770F974" w14:textId="77777777" w:rsidR="00A001C9" w:rsidRPr="004C761B" w:rsidRDefault="00A001C9" w:rsidP="00A001C9">
      <w:pPr>
        <w:jc w:val="both"/>
        <w:rPr>
          <w:rFonts w:cs="Arial"/>
          <w:sz w:val="24"/>
          <w:szCs w:val="24"/>
        </w:rPr>
      </w:pPr>
    </w:p>
    <w:p w14:paraId="215CDD76" w14:textId="7EE8975E" w:rsidR="00B23297" w:rsidRDefault="00A001C9" w:rsidP="00A001C9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 xml:space="preserve">4. The deposited material, once catalogued, will be made available to researchers via the IET Archives. </w:t>
      </w:r>
      <w:r w:rsidR="00B23297">
        <w:rPr>
          <w:rFonts w:cs="Arial"/>
          <w:sz w:val="24"/>
          <w:szCs w:val="24"/>
        </w:rPr>
        <w:t xml:space="preserve">Please inform us of any sensitive/personal content. We may limit access based on condition, </w:t>
      </w:r>
      <w:r w:rsidR="00B23297" w:rsidRPr="004C761B">
        <w:rPr>
          <w:rFonts w:cs="Arial"/>
          <w:sz w:val="24"/>
          <w:szCs w:val="24"/>
        </w:rPr>
        <w:t>sensitive</w:t>
      </w:r>
      <w:r w:rsidR="00B23297">
        <w:rPr>
          <w:rFonts w:cs="Arial"/>
          <w:sz w:val="24"/>
          <w:szCs w:val="24"/>
        </w:rPr>
        <w:t>,</w:t>
      </w:r>
      <w:r w:rsidR="00B23297" w:rsidRPr="004C761B">
        <w:rPr>
          <w:rFonts w:cs="Arial"/>
          <w:sz w:val="24"/>
          <w:szCs w:val="24"/>
        </w:rPr>
        <w:t xml:space="preserve"> personal </w:t>
      </w:r>
      <w:r w:rsidR="00B23297">
        <w:rPr>
          <w:rFonts w:cs="Arial"/>
          <w:sz w:val="24"/>
          <w:szCs w:val="24"/>
        </w:rPr>
        <w:t xml:space="preserve">and/or commercial </w:t>
      </w:r>
      <w:r w:rsidR="00B23297" w:rsidRPr="004C761B">
        <w:rPr>
          <w:rFonts w:cs="Arial"/>
          <w:sz w:val="24"/>
          <w:szCs w:val="24"/>
        </w:rPr>
        <w:t>information,</w:t>
      </w:r>
      <w:r w:rsidR="00B23297">
        <w:rPr>
          <w:rFonts w:cs="Arial"/>
          <w:sz w:val="24"/>
          <w:szCs w:val="24"/>
        </w:rPr>
        <w:t xml:space="preserve"> </w:t>
      </w:r>
      <w:r w:rsidR="00B23297" w:rsidRPr="004C761B">
        <w:rPr>
          <w:rFonts w:cs="Arial"/>
          <w:sz w:val="24"/>
          <w:szCs w:val="24"/>
        </w:rPr>
        <w:t xml:space="preserve">or any other information </w:t>
      </w:r>
      <w:r w:rsidR="00B23297">
        <w:rPr>
          <w:rFonts w:cs="Arial"/>
          <w:sz w:val="24"/>
          <w:szCs w:val="24"/>
        </w:rPr>
        <w:t xml:space="preserve">which is </w:t>
      </w:r>
      <w:r w:rsidR="00B23297" w:rsidRPr="004C761B">
        <w:rPr>
          <w:rFonts w:cs="Arial"/>
          <w:sz w:val="24"/>
          <w:szCs w:val="24"/>
        </w:rPr>
        <w:t>subject to the Data Protection Act.</w:t>
      </w:r>
    </w:p>
    <w:p w14:paraId="5C8EAFC8" w14:textId="77777777" w:rsidR="00A001C9" w:rsidRPr="004C761B" w:rsidRDefault="00A001C9" w:rsidP="00A001C9">
      <w:pPr>
        <w:jc w:val="both"/>
        <w:rPr>
          <w:rFonts w:cs="Arial"/>
          <w:sz w:val="24"/>
          <w:szCs w:val="24"/>
        </w:rPr>
      </w:pPr>
    </w:p>
    <w:p w14:paraId="68FA614C" w14:textId="77777777" w:rsidR="00A001C9" w:rsidRPr="004C761B" w:rsidRDefault="00A001C9" w:rsidP="00A001C9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 xml:space="preserve">5. </w:t>
      </w:r>
      <w:r w:rsidR="004C761B" w:rsidRPr="004C761B">
        <w:rPr>
          <w:rFonts w:cs="Arial"/>
          <w:sz w:val="24"/>
          <w:szCs w:val="24"/>
        </w:rPr>
        <w:t>Copies of t</w:t>
      </w:r>
      <w:r w:rsidRPr="004C761B">
        <w:rPr>
          <w:rFonts w:cs="Arial"/>
          <w:sz w:val="24"/>
          <w:szCs w:val="24"/>
        </w:rPr>
        <w:t xml:space="preserve">he deposited material may </w:t>
      </w:r>
      <w:r w:rsidR="004C761B" w:rsidRPr="004C761B">
        <w:rPr>
          <w:rFonts w:cs="Arial"/>
          <w:sz w:val="24"/>
          <w:szCs w:val="24"/>
        </w:rPr>
        <w:t>be made available to researchers</w:t>
      </w:r>
      <w:r w:rsidR="00A81C03">
        <w:rPr>
          <w:rFonts w:cs="Arial"/>
          <w:sz w:val="24"/>
          <w:szCs w:val="24"/>
        </w:rPr>
        <w:t xml:space="preserve">, published online and on social media platforms. </w:t>
      </w:r>
      <w:r w:rsidR="00D15778">
        <w:rPr>
          <w:rFonts w:cs="Arial"/>
          <w:sz w:val="24"/>
          <w:szCs w:val="24"/>
        </w:rPr>
        <w:t>Originals or copies of t</w:t>
      </w:r>
      <w:r w:rsidR="004C761B" w:rsidRPr="004C761B">
        <w:rPr>
          <w:rFonts w:cs="Arial"/>
          <w:sz w:val="24"/>
          <w:szCs w:val="24"/>
        </w:rPr>
        <w:t xml:space="preserve">he material may also be </w:t>
      </w:r>
      <w:r w:rsidR="00D15778">
        <w:rPr>
          <w:rFonts w:cs="Arial"/>
          <w:sz w:val="24"/>
          <w:szCs w:val="24"/>
        </w:rPr>
        <w:t xml:space="preserve">made available for </w:t>
      </w:r>
      <w:r w:rsidRPr="004C761B">
        <w:rPr>
          <w:rFonts w:cs="Arial"/>
          <w:sz w:val="24"/>
          <w:szCs w:val="24"/>
        </w:rPr>
        <w:t xml:space="preserve">use in public exhibitions or displays, </w:t>
      </w:r>
      <w:r w:rsidR="004C761B" w:rsidRPr="004C761B">
        <w:rPr>
          <w:rFonts w:cs="Arial"/>
          <w:sz w:val="24"/>
          <w:szCs w:val="24"/>
        </w:rPr>
        <w:t xml:space="preserve">or </w:t>
      </w:r>
      <w:r w:rsidR="0046400D" w:rsidRPr="004C761B">
        <w:rPr>
          <w:rFonts w:cs="Arial"/>
          <w:sz w:val="24"/>
          <w:szCs w:val="24"/>
        </w:rPr>
        <w:t xml:space="preserve">used </w:t>
      </w:r>
      <w:r w:rsidRPr="004C761B">
        <w:rPr>
          <w:rFonts w:cs="Arial"/>
          <w:sz w:val="24"/>
          <w:szCs w:val="24"/>
        </w:rPr>
        <w:t xml:space="preserve">in publications, </w:t>
      </w:r>
      <w:r w:rsidR="004C761B" w:rsidRPr="004C761B">
        <w:rPr>
          <w:rFonts w:cs="Arial"/>
          <w:sz w:val="24"/>
          <w:szCs w:val="24"/>
        </w:rPr>
        <w:t xml:space="preserve">in accordance with </w:t>
      </w:r>
      <w:r w:rsidRPr="004C761B">
        <w:rPr>
          <w:rFonts w:cs="Arial"/>
          <w:sz w:val="24"/>
          <w:szCs w:val="24"/>
        </w:rPr>
        <w:t xml:space="preserve">the </w:t>
      </w:r>
      <w:r w:rsidR="004C761B" w:rsidRPr="004C761B">
        <w:rPr>
          <w:rFonts w:cs="Arial"/>
          <w:sz w:val="24"/>
          <w:szCs w:val="24"/>
        </w:rPr>
        <w:t>usual procedures and charges of the IET Archives</w:t>
      </w:r>
      <w:r w:rsidRPr="004C761B">
        <w:rPr>
          <w:rFonts w:cs="Arial"/>
          <w:sz w:val="24"/>
          <w:szCs w:val="24"/>
        </w:rPr>
        <w:t>.</w:t>
      </w:r>
    </w:p>
    <w:p w14:paraId="6873920C" w14:textId="77777777" w:rsidR="004C761B" w:rsidRPr="004C761B" w:rsidRDefault="004C761B" w:rsidP="00A001C9">
      <w:pPr>
        <w:jc w:val="both"/>
        <w:rPr>
          <w:rFonts w:cs="Arial"/>
          <w:sz w:val="24"/>
          <w:szCs w:val="24"/>
        </w:rPr>
      </w:pPr>
    </w:p>
    <w:p w14:paraId="34B6D6B6" w14:textId="77777777" w:rsidR="00E41B28" w:rsidRDefault="004C761B" w:rsidP="00CF5444">
      <w:pPr>
        <w:jc w:val="both"/>
        <w:rPr>
          <w:rFonts w:cs="Arial"/>
          <w:sz w:val="24"/>
          <w:szCs w:val="24"/>
        </w:rPr>
      </w:pPr>
      <w:r w:rsidRPr="004C761B">
        <w:rPr>
          <w:rFonts w:cs="Arial"/>
          <w:sz w:val="24"/>
          <w:szCs w:val="24"/>
        </w:rPr>
        <w:t>6. Personal Details of the depositor shall not be revealed by the Archives to third parties with</w:t>
      </w:r>
      <w:r w:rsidR="00B237F0">
        <w:rPr>
          <w:rFonts w:cs="Arial"/>
          <w:sz w:val="24"/>
          <w:szCs w:val="24"/>
        </w:rPr>
        <w:t>out</w:t>
      </w:r>
      <w:r w:rsidRPr="004C761B">
        <w:rPr>
          <w:rFonts w:cs="Arial"/>
          <w:sz w:val="24"/>
          <w:szCs w:val="24"/>
        </w:rPr>
        <w:t xml:space="preserve"> the consent of the depositor.</w:t>
      </w:r>
    </w:p>
    <w:sectPr w:rsidR="00E41B28" w:rsidSect="002033BD">
      <w:headerReference w:type="default" r:id="rId8"/>
      <w:pgSz w:w="11906" w:h="16838"/>
      <w:pgMar w:top="1440" w:right="180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9DDF" w14:textId="77777777" w:rsidR="00472D9C" w:rsidRDefault="00472D9C">
      <w:r>
        <w:separator/>
      </w:r>
    </w:p>
  </w:endnote>
  <w:endnote w:type="continuationSeparator" w:id="0">
    <w:p w14:paraId="0DDE3179" w14:textId="77777777" w:rsidR="00472D9C" w:rsidRDefault="0047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E3B9" w14:textId="77777777" w:rsidR="00472D9C" w:rsidRDefault="00472D9C">
      <w:r>
        <w:separator/>
      </w:r>
    </w:p>
  </w:footnote>
  <w:footnote w:type="continuationSeparator" w:id="0">
    <w:p w14:paraId="54A88CD1" w14:textId="77777777" w:rsidR="00472D9C" w:rsidRDefault="0047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B7C1" w14:textId="77777777" w:rsidR="00FB76AC" w:rsidRDefault="00FB76AC" w:rsidP="00FB76AC"/>
  <w:tbl>
    <w:tblPr>
      <w:tblW w:w="5105" w:type="pct"/>
      <w:tblLook w:val="04A0" w:firstRow="1" w:lastRow="0" w:firstColumn="1" w:lastColumn="0" w:noHBand="0" w:noVBand="1"/>
    </w:tblPr>
    <w:tblGrid>
      <w:gridCol w:w="6574"/>
      <w:gridCol w:w="2372"/>
    </w:tblGrid>
    <w:tr w:rsidR="00FB76AC" w14:paraId="57F9146B" w14:textId="77777777" w:rsidTr="006D1934">
      <w:trPr>
        <w:trHeight w:val="426"/>
      </w:trPr>
      <w:tc>
        <w:tcPr>
          <w:tcW w:w="3674" w:type="pct"/>
        </w:tcPr>
        <w:p w14:paraId="235C2E39" w14:textId="77777777" w:rsidR="00FB76AC" w:rsidRPr="00FF594D" w:rsidRDefault="00FB76AC" w:rsidP="006D1934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F2E10F4" wp14:editId="254D5D19">
                <wp:extent cx="3168000" cy="530326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T_Master Log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000" cy="530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" w:type="pct"/>
        </w:tcPr>
        <w:p w14:paraId="226602A5" w14:textId="77777777" w:rsidR="00FB76AC" w:rsidRPr="00266F12" w:rsidRDefault="00FB76AC" w:rsidP="006D1934">
          <w:pPr>
            <w:pStyle w:val="Header"/>
            <w:rPr>
              <w:sz w:val="19"/>
              <w:szCs w:val="19"/>
            </w:rPr>
          </w:pPr>
          <w:r>
            <w:rPr>
              <w:sz w:val="19"/>
              <w:szCs w:val="19"/>
            </w:rPr>
            <w:t>Archive Centre</w:t>
          </w:r>
        </w:p>
        <w:p w14:paraId="3E8047C9" w14:textId="77777777" w:rsidR="00FB76AC" w:rsidRPr="00266F12" w:rsidRDefault="00FB76AC" w:rsidP="006D1934">
          <w:pPr>
            <w:pStyle w:val="Header"/>
            <w:rPr>
              <w:sz w:val="19"/>
              <w:szCs w:val="19"/>
            </w:rPr>
          </w:pPr>
          <w:r>
            <w:rPr>
              <w:sz w:val="19"/>
              <w:szCs w:val="19"/>
            </w:rPr>
            <w:t>Savoy Hill House</w:t>
          </w:r>
        </w:p>
        <w:p w14:paraId="5A4ECDAC" w14:textId="77777777" w:rsidR="00FB76AC" w:rsidRDefault="00FB76AC" w:rsidP="006D1934">
          <w:pPr>
            <w:pStyle w:val="Header"/>
            <w:rPr>
              <w:sz w:val="19"/>
              <w:szCs w:val="19"/>
            </w:rPr>
          </w:pPr>
          <w:r>
            <w:rPr>
              <w:sz w:val="19"/>
              <w:szCs w:val="19"/>
            </w:rPr>
            <w:t xml:space="preserve">7-10 Savoy Hill </w:t>
          </w:r>
          <w:r>
            <w:rPr>
              <w:sz w:val="19"/>
              <w:szCs w:val="19"/>
            </w:rPr>
            <w:br/>
            <w:t xml:space="preserve">London </w:t>
          </w:r>
        </w:p>
        <w:p w14:paraId="1C352FA8" w14:textId="77777777" w:rsidR="00FB76AC" w:rsidRPr="00266F12" w:rsidRDefault="00FB76AC" w:rsidP="006D1934">
          <w:pPr>
            <w:pStyle w:val="Header"/>
            <w:rPr>
              <w:sz w:val="19"/>
              <w:szCs w:val="19"/>
            </w:rPr>
          </w:pPr>
          <w:r>
            <w:rPr>
              <w:sz w:val="19"/>
              <w:szCs w:val="19"/>
            </w:rPr>
            <w:t>WC2R 0BU</w:t>
          </w:r>
        </w:p>
        <w:p w14:paraId="3F71F049" w14:textId="77777777" w:rsidR="00FB76AC" w:rsidRDefault="00FB76AC" w:rsidP="006D1934">
          <w:pPr>
            <w:pStyle w:val="Header"/>
            <w:rPr>
              <w:sz w:val="19"/>
              <w:szCs w:val="19"/>
            </w:rPr>
          </w:pPr>
          <w:r w:rsidRPr="00266F12">
            <w:rPr>
              <w:sz w:val="19"/>
              <w:szCs w:val="19"/>
            </w:rPr>
            <w:t>United Kingdom</w:t>
          </w:r>
        </w:p>
        <w:p w14:paraId="111BF976" w14:textId="77777777" w:rsidR="00FB76AC" w:rsidRPr="00266F12" w:rsidRDefault="00FB76AC" w:rsidP="006D1934">
          <w:pPr>
            <w:pStyle w:val="Header"/>
            <w:rPr>
              <w:sz w:val="19"/>
              <w:szCs w:val="19"/>
            </w:rPr>
          </w:pPr>
          <w:r w:rsidRPr="00F35336">
            <w:rPr>
              <w:b/>
              <w:color w:val="9D45B0"/>
              <w:sz w:val="19"/>
              <w:szCs w:val="19"/>
            </w:rPr>
            <w:t>T</w:t>
          </w:r>
          <w:r w:rsidRPr="00266F12">
            <w:rPr>
              <w:sz w:val="19"/>
              <w:szCs w:val="19"/>
            </w:rPr>
            <w:t xml:space="preserve"> </w:t>
          </w:r>
          <w:r>
            <w:rPr>
              <w:sz w:val="19"/>
              <w:szCs w:val="19"/>
            </w:rPr>
            <w:t xml:space="preserve">  </w:t>
          </w:r>
          <w:r w:rsidRPr="00266F12">
            <w:rPr>
              <w:sz w:val="19"/>
              <w:szCs w:val="19"/>
            </w:rPr>
            <w:t>+44 (0)</w:t>
          </w:r>
          <w:r>
            <w:rPr>
              <w:sz w:val="19"/>
              <w:szCs w:val="19"/>
            </w:rPr>
            <w:t xml:space="preserve">20 7344 8407 </w:t>
          </w:r>
        </w:p>
        <w:p w14:paraId="793DEEA4" w14:textId="77777777" w:rsidR="00FB76AC" w:rsidRPr="00266F12" w:rsidRDefault="00FB76AC" w:rsidP="006D1934">
          <w:pPr>
            <w:pStyle w:val="Header"/>
            <w:rPr>
              <w:b/>
              <w:sz w:val="19"/>
              <w:szCs w:val="19"/>
            </w:rPr>
          </w:pPr>
          <w:r w:rsidRPr="00F35336">
            <w:rPr>
              <w:b/>
              <w:color w:val="9D45B0"/>
              <w:sz w:val="19"/>
              <w:szCs w:val="19"/>
            </w:rPr>
            <w:t>W</w:t>
          </w:r>
          <w:r>
            <w:rPr>
              <w:sz w:val="19"/>
              <w:szCs w:val="19"/>
            </w:rPr>
            <w:t xml:space="preserve">  </w:t>
          </w:r>
          <w:r w:rsidRPr="00F35336">
            <w:rPr>
              <w:sz w:val="19"/>
              <w:szCs w:val="19"/>
            </w:rPr>
            <w:t>theiet.org</w:t>
          </w:r>
        </w:p>
      </w:tc>
    </w:tr>
  </w:tbl>
  <w:p w14:paraId="09913D0B" w14:textId="77777777" w:rsidR="00FB76AC" w:rsidRDefault="00FB7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9330" w14:textId="77777777" w:rsidR="00FB76AC" w:rsidRDefault="00FB76AC" w:rsidP="00FB76AC"/>
  <w:tbl>
    <w:tblPr>
      <w:tblW w:w="5105" w:type="pct"/>
      <w:tblLook w:val="04A0" w:firstRow="1" w:lastRow="0" w:firstColumn="1" w:lastColumn="0" w:noHBand="0" w:noVBand="1"/>
    </w:tblPr>
    <w:tblGrid>
      <w:gridCol w:w="6574"/>
      <w:gridCol w:w="2372"/>
    </w:tblGrid>
    <w:tr w:rsidR="00FB76AC" w14:paraId="1DE8559E" w14:textId="77777777" w:rsidTr="006D1934">
      <w:trPr>
        <w:trHeight w:val="426"/>
      </w:trPr>
      <w:tc>
        <w:tcPr>
          <w:tcW w:w="3674" w:type="pct"/>
        </w:tcPr>
        <w:p w14:paraId="33188995" w14:textId="77777777" w:rsidR="00FB76AC" w:rsidRPr="00FF594D" w:rsidRDefault="00FB76AC" w:rsidP="006D1934">
          <w:pPr>
            <w:pStyle w:val="Header"/>
          </w:pPr>
        </w:p>
      </w:tc>
      <w:tc>
        <w:tcPr>
          <w:tcW w:w="1326" w:type="pct"/>
        </w:tcPr>
        <w:p w14:paraId="4F62D73E" w14:textId="77777777" w:rsidR="00FB76AC" w:rsidRPr="00266F12" w:rsidRDefault="00FB76AC" w:rsidP="006D1934">
          <w:pPr>
            <w:pStyle w:val="Header"/>
            <w:rPr>
              <w:b/>
              <w:sz w:val="19"/>
              <w:szCs w:val="19"/>
            </w:rPr>
          </w:pPr>
        </w:p>
      </w:tc>
    </w:tr>
  </w:tbl>
  <w:p w14:paraId="75295E0B" w14:textId="77777777" w:rsidR="00FB76AC" w:rsidRDefault="00FB7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64F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7473FE5"/>
    <w:multiLevelType w:val="hybridMultilevel"/>
    <w:tmpl w:val="064AB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58D8"/>
    <w:multiLevelType w:val="hybridMultilevel"/>
    <w:tmpl w:val="5FEC7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E5938"/>
    <w:multiLevelType w:val="hybridMultilevel"/>
    <w:tmpl w:val="27DED5D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2407AE"/>
    <w:multiLevelType w:val="hybridMultilevel"/>
    <w:tmpl w:val="B47CA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811856">
    <w:abstractNumId w:val="0"/>
  </w:num>
  <w:num w:numId="2" w16cid:durableId="2010062708">
    <w:abstractNumId w:val="3"/>
  </w:num>
  <w:num w:numId="3" w16cid:durableId="1116753205">
    <w:abstractNumId w:val="2"/>
  </w:num>
  <w:num w:numId="4" w16cid:durableId="1196843725">
    <w:abstractNumId w:val="4"/>
  </w:num>
  <w:num w:numId="5" w16cid:durableId="157419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DB"/>
    <w:rsid w:val="000008DB"/>
    <w:rsid w:val="00010AB2"/>
    <w:rsid w:val="000379DD"/>
    <w:rsid w:val="000A6960"/>
    <w:rsid w:val="000D31A2"/>
    <w:rsid w:val="000F3CB2"/>
    <w:rsid w:val="001F0F7B"/>
    <w:rsid w:val="002033BD"/>
    <w:rsid w:val="00217BB9"/>
    <w:rsid w:val="0026605A"/>
    <w:rsid w:val="00271275"/>
    <w:rsid w:val="002C23B5"/>
    <w:rsid w:val="002E2B39"/>
    <w:rsid w:val="003463B6"/>
    <w:rsid w:val="003954D1"/>
    <w:rsid w:val="003A5651"/>
    <w:rsid w:val="003B7766"/>
    <w:rsid w:val="00416F1D"/>
    <w:rsid w:val="00445F33"/>
    <w:rsid w:val="0046400D"/>
    <w:rsid w:val="00472D9C"/>
    <w:rsid w:val="004C761B"/>
    <w:rsid w:val="00555BCB"/>
    <w:rsid w:val="00572623"/>
    <w:rsid w:val="006053A0"/>
    <w:rsid w:val="00650070"/>
    <w:rsid w:val="00743367"/>
    <w:rsid w:val="0085115F"/>
    <w:rsid w:val="008F292B"/>
    <w:rsid w:val="00904C9A"/>
    <w:rsid w:val="0092054B"/>
    <w:rsid w:val="00984BE7"/>
    <w:rsid w:val="009E2BBD"/>
    <w:rsid w:val="00A001C9"/>
    <w:rsid w:val="00A21549"/>
    <w:rsid w:val="00A33D2D"/>
    <w:rsid w:val="00A806FC"/>
    <w:rsid w:val="00A80B8E"/>
    <w:rsid w:val="00A81C03"/>
    <w:rsid w:val="00AB1F4C"/>
    <w:rsid w:val="00AF46F8"/>
    <w:rsid w:val="00B23297"/>
    <w:rsid w:val="00B237F0"/>
    <w:rsid w:val="00B34196"/>
    <w:rsid w:val="00B46D36"/>
    <w:rsid w:val="00BF7EE4"/>
    <w:rsid w:val="00C80A76"/>
    <w:rsid w:val="00C956E3"/>
    <w:rsid w:val="00C96C4F"/>
    <w:rsid w:val="00CF0AF4"/>
    <w:rsid w:val="00CF5444"/>
    <w:rsid w:val="00D15778"/>
    <w:rsid w:val="00D44173"/>
    <w:rsid w:val="00D65C04"/>
    <w:rsid w:val="00DB2B10"/>
    <w:rsid w:val="00DB4239"/>
    <w:rsid w:val="00DE319C"/>
    <w:rsid w:val="00DE7201"/>
    <w:rsid w:val="00DF08BF"/>
    <w:rsid w:val="00E41B28"/>
    <w:rsid w:val="00EE1FA7"/>
    <w:rsid w:val="00F1588D"/>
    <w:rsid w:val="00F547BE"/>
    <w:rsid w:val="00F71310"/>
    <w:rsid w:val="00FB70CD"/>
    <w:rsid w:val="00FB76AC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7F3FCE"/>
  <w15:docId w15:val="{059BD4A0-7692-4EA3-9CC7-4C431613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8DB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16F1D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08DB"/>
    <w:pPr>
      <w:jc w:val="both"/>
    </w:pPr>
    <w:rPr>
      <w:rFonts w:ascii="Times New Roman" w:hAnsi="Times New Roman"/>
      <w:b/>
    </w:rPr>
  </w:style>
  <w:style w:type="paragraph" w:styleId="BodyText2">
    <w:name w:val="Body Text 2"/>
    <w:basedOn w:val="Normal"/>
    <w:rsid w:val="000008DB"/>
    <w:pPr>
      <w:spacing w:after="120" w:line="480" w:lineRule="auto"/>
    </w:pPr>
  </w:style>
  <w:style w:type="table" w:styleId="TableGrid">
    <w:name w:val="Table Grid"/>
    <w:basedOn w:val="TableNormal"/>
    <w:rsid w:val="0000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43367"/>
    <w:rPr>
      <w:rFonts w:ascii="Times New Roman" w:hAnsi="Times New Roman"/>
      <w:lang w:eastAsia="en-GB"/>
    </w:rPr>
  </w:style>
  <w:style w:type="character" w:styleId="FootnoteReference">
    <w:name w:val="footnote reference"/>
    <w:basedOn w:val="DefaultParagraphFont"/>
    <w:semiHidden/>
    <w:rsid w:val="00743367"/>
    <w:rPr>
      <w:vertAlign w:val="superscript"/>
    </w:rPr>
  </w:style>
  <w:style w:type="paragraph" w:styleId="BalloonText">
    <w:name w:val="Balloon Text"/>
    <w:basedOn w:val="Normal"/>
    <w:link w:val="BalloonTextChar"/>
    <w:rsid w:val="00555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BC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B7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76AC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FB7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76A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Use:</vt:lpstr>
    </vt:vector>
  </TitlesOfParts>
  <Company>The IEE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Use:</dc:title>
  <dc:creator>gtratt</dc:creator>
  <cp:lastModifiedBy>Asha Gage</cp:lastModifiedBy>
  <cp:revision>5</cp:revision>
  <cp:lastPrinted>2019-02-01T08:34:00Z</cp:lastPrinted>
  <dcterms:created xsi:type="dcterms:W3CDTF">2019-01-31T17:01:00Z</dcterms:created>
  <dcterms:modified xsi:type="dcterms:W3CDTF">2026-05-14T09:17:00Z</dcterms:modified>
</cp:coreProperties>
</file>